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F" w:rsidRDefault="00317F4F" w:rsidP="00317F4F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317F4F" w:rsidRPr="001F588D" w:rsidRDefault="00317F4F" w:rsidP="00317F4F">
      <w:pPr>
        <w:rPr>
          <w:b/>
          <w:color w:val="000000"/>
        </w:rPr>
      </w:pPr>
      <w:r w:rsidRPr="001F588D">
        <w:rPr>
          <w:b/>
          <w:color w:val="000000"/>
        </w:rPr>
        <w:t>(с полномочиями окружной избирательной комиссии)</w:t>
      </w:r>
    </w:p>
    <w:p w:rsidR="00317F4F" w:rsidRPr="00D30217" w:rsidRDefault="00317F4F" w:rsidP="00317F4F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317F4F" w:rsidRDefault="00317F4F" w:rsidP="00317F4F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317F4F" w:rsidRPr="00096AF3" w:rsidRDefault="00317F4F" w:rsidP="00317F4F">
      <w:pPr>
        <w:rPr>
          <w:color w:val="000000"/>
        </w:rPr>
      </w:pPr>
    </w:p>
    <w:p w:rsidR="00317F4F" w:rsidRPr="003A4DCD" w:rsidRDefault="00317F4F" w:rsidP="00317F4F">
      <w:pPr>
        <w:spacing w:before="240"/>
        <w:rPr>
          <w:b/>
          <w:color w:val="000000"/>
          <w:spacing w:val="60"/>
        </w:rPr>
      </w:pPr>
      <w:r w:rsidRPr="003A4DCD">
        <w:rPr>
          <w:b/>
          <w:sz w:val="32"/>
        </w:rPr>
        <w:t>РЕШЕНИЕ</w:t>
      </w:r>
    </w:p>
    <w:p w:rsidR="00317F4F" w:rsidRPr="00C03E9B" w:rsidRDefault="00317F4F" w:rsidP="00317F4F">
      <w:pPr>
        <w:rPr>
          <w:color w:val="000000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317F4F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4F" w:rsidRPr="00D92FBF" w:rsidRDefault="00317F4F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317F4F" w:rsidRPr="00D92FBF" w:rsidRDefault="00317F4F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F4F" w:rsidRPr="00D92FBF" w:rsidRDefault="00317F4F" w:rsidP="00B17DE4">
            <w:pPr>
              <w:contextualSpacing/>
            </w:pPr>
            <w:r>
              <w:t>14/65</w:t>
            </w:r>
          </w:p>
        </w:tc>
      </w:tr>
      <w:tr w:rsidR="00317F4F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F4F" w:rsidRPr="00214597" w:rsidRDefault="00317F4F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317F4F" w:rsidRPr="00D92FBF" w:rsidRDefault="00317F4F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F4F" w:rsidRPr="00214597" w:rsidRDefault="00317F4F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317F4F" w:rsidRPr="00096AF3" w:rsidRDefault="00317F4F" w:rsidP="00317F4F">
      <w:pPr>
        <w:rPr>
          <w:color w:val="000000"/>
        </w:rPr>
      </w:pPr>
    </w:p>
    <w:p w:rsidR="00317F4F" w:rsidRDefault="00317F4F" w:rsidP="00317F4F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317F4F" w:rsidRPr="009E08BC" w:rsidTr="00B17DE4">
        <w:trPr>
          <w:jc w:val="center"/>
        </w:trPr>
        <w:tc>
          <w:tcPr>
            <w:tcW w:w="5245" w:type="dxa"/>
          </w:tcPr>
          <w:p w:rsidR="00317F4F" w:rsidRPr="004E02B6" w:rsidRDefault="00317F4F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  <w:r w:rsidRPr="00B4066C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использовании бланков документов и печати избирательной комиссии муниципального образования</w:t>
            </w:r>
            <w:r w:rsidRPr="00DB5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Ключ</w:t>
            </w:r>
            <w:r w:rsidRPr="00DB595A">
              <w:rPr>
                <w:rFonts w:ascii="Times New Roman" w:hAnsi="Times New Roman"/>
                <w:sz w:val="28"/>
                <w:szCs w:val="28"/>
              </w:rPr>
              <w:t>евский район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подготовке и проведении дополнительных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выборов депутата</w:t>
            </w:r>
            <w:r w:rsidRPr="004E02B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Ключевского районного Собрания депутатов Алтайского края седьмого созыва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четырехмандатному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избирательному округу № 5 «13» сентября 2020 года</w:t>
            </w:r>
          </w:p>
          <w:p w:rsidR="00317F4F" w:rsidRPr="00214597" w:rsidRDefault="00317F4F" w:rsidP="00B17DE4">
            <w:pPr>
              <w:pStyle w:val="ConsPlusNonformat"/>
              <w:jc w:val="center"/>
              <w:rPr>
                <w:sz w:val="28"/>
              </w:rPr>
            </w:pPr>
          </w:p>
        </w:tc>
      </w:tr>
    </w:tbl>
    <w:p w:rsidR="00317F4F" w:rsidRDefault="00317F4F" w:rsidP="00317F4F">
      <w:pPr>
        <w:rPr>
          <w:color w:val="000000"/>
        </w:rPr>
      </w:pPr>
    </w:p>
    <w:p w:rsidR="00317F4F" w:rsidRDefault="00317F4F" w:rsidP="00317F4F">
      <w:pPr>
        <w:tabs>
          <w:tab w:val="center" w:pos="4677"/>
          <w:tab w:val="right" w:pos="9355"/>
        </w:tabs>
        <w:ind w:firstLine="709"/>
        <w:jc w:val="both"/>
      </w:pPr>
      <w:proofErr w:type="gramStart"/>
      <w:r w:rsidRPr="00B4066C">
        <w:t xml:space="preserve">В соответствии с </w:t>
      </w:r>
      <w:r>
        <w:t xml:space="preserve">пунктом 1 статьи 25 Федерального закона </w:t>
      </w:r>
      <w:r w:rsidRPr="00B4066C">
        <w:t xml:space="preserve">от 12 июня 2002 года </w:t>
      </w:r>
      <w:r>
        <w:t xml:space="preserve">№ 67-ФЗ </w:t>
      </w:r>
      <w:r w:rsidRPr="00B4066C">
        <w:t>«Об основных гарантиях избирательных прав и права на участие в референдуме граждан Российской Федерации»</w:t>
      </w:r>
      <w:r>
        <w:t>, пунктом 7 статьи 18 Кодекса Алтайского края о выборах, референдуме, отзыве от 08 июля 2003 года № 35-ЗС, на основании решения</w:t>
      </w:r>
      <w:r>
        <w:rPr>
          <w:rStyle w:val="a7"/>
          <w:rFonts w:eastAsia="Calibri"/>
        </w:rPr>
        <w:footnoteReference w:id="1"/>
      </w:r>
      <w:r>
        <w:t xml:space="preserve"> от «01» июля 2020 года № _14/59__ «_О возложении полномочий окружной</w:t>
      </w:r>
      <w:proofErr w:type="gramEnd"/>
      <w:r>
        <w:t xml:space="preserve"> избирательной комиссии на избирательную комиссию муниципального образования Ключевский район  Алтайского края»</w:t>
      </w:r>
    </w:p>
    <w:p w:rsidR="00317F4F" w:rsidRDefault="00317F4F" w:rsidP="00317F4F">
      <w:pPr>
        <w:jc w:val="both"/>
      </w:pPr>
      <w:r>
        <w:t>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>
        <w:t xml:space="preserve"> (с полномочиями окружной избирательной комиссии)</w:t>
      </w:r>
    </w:p>
    <w:p w:rsidR="00317F4F" w:rsidRDefault="00317F4F" w:rsidP="00317F4F">
      <w:pPr>
        <w:spacing w:line="276" w:lineRule="auto"/>
        <w:ind w:firstLine="851"/>
        <w:jc w:val="both"/>
      </w:pPr>
    </w:p>
    <w:p w:rsidR="00317F4F" w:rsidRDefault="00317F4F" w:rsidP="00317F4F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317F4F" w:rsidRPr="00FF016F" w:rsidRDefault="00317F4F" w:rsidP="00317F4F">
      <w:pPr>
        <w:numPr>
          <w:ilvl w:val="0"/>
          <w:numId w:val="1"/>
        </w:numPr>
        <w:ind w:right="33"/>
        <w:jc w:val="both"/>
      </w:pPr>
      <w:proofErr w:type="gramStart"/>
      <w:r>
        <w:lastRenderedPageBreak/>
        <w:t xml:space="preserve">В целях осуществления полномочий </w:t>
      </w:r>
      <w:r w:rsidRPr="00832B17">
        <w:t>окружн</w:t>
      </w:r>
      <w:r>
        <w:t>ой</w:t>
      </w:r>
      <w:r w:rsidRPr="00832B17">
        <w:t xml:space="preserve"> избирательн</w:t>
      </w:r>
      <w:r>
        <w:t>ой</w:t>
      </w:r>
      <w:r w:rsidRPr="00832B17">
        <w:t xml:space="preserve"> комисси</w:t>
      </w:r>
      <w:r>
        <w:t>и</w:t>
      </w:r>
      <w:r w:rsidRPr="00832B17">
        <w:t xml:space="preserve"> по</w:t>
      </w:r>
      <w:r>
        <w:t xml:space="preserve"> дополнительным выборам депутатов</w:t>
      </w:r>
      <w:r w:rsidRPr="004E02B6">
        <w:rPr>
          <w:szCs w:val="24"/>
        </w:rPr>
        <w:t xml:space="preserve"> </w:t>
      </w:r>
      <w:r>
        <w:rPr>
          <w:szCs w:val="24"/>
        </w:rPr>
        <w:t xml:space="preserve">Ключевского районного Собрания депутатов Алтайского края седьмого созыва по </w:t>
      </w:r>
      <w:proofErr w:type="spellStart"/>
      <w:r>
        <w:rPr>
          <w:szCs w:val="24"/>
        </w:rPr>
        <w:t>четырехмандатному</w:t>
      </w:r>
      <w:proofErr w:type="spellEnd"/>
      <w:r>
        <w:rPr>
          <w:szCs w:val="24"/>
        </w:rPr>
        <w:t xml:space="preserve"> избирательному округу № 5 </w:t>
      </w:r>
      <w:r>
        <w:t>в</w:t>
      </w:r>
      <w:r w:rsidRPr="00832B17">
        <w:t xml:space="preserve"> период подготовки и проведения </w:t>
      </w:r>
      <w:r>
        <w:t>дополнительных выборов депутатов</w:t>
      </w:r>
      <w:r w:rsidRPr="004E02B6">
        <w:rPr>
          <w:szCs w:val="24"/>
        </w:rPr>
        <w:t xml:space="preserve"> </w:t>
      </w:r>
      <w:r>
        <w:rPr>
          <w:szCs w:val="24"/>
        </w:rPr>
        <w:t xml:space="preserve">Ключевского районного Собрания депутатов Алтайского края седьмого созыва по </w:t>
      </w:r>
      <w:proofErr w:type="spellStart"/>
      <w:r>
        <w:rPr>
          <w:szCs w:val="24"/>
        </w:rPr>
        <w:t>четырехмандатному</w:t>
      </w:r>
      <w:proofErr w:type="spellEnd"/>
      <w:r>
        <w:rPr>
          <w:szCs w:val="24"/>
        </w:rPr>
        <w:t xml:space="preserve"> избирательному округу № 5 </w:t>
      </w:r>
      <w:r w:rsidRPr="00832B17">
        <w:t>использовать в</w:t>
      </w:r>
      <w:r>
        <w:t xml:space="preserve"> делопроизводстве окружной избирательной комиссии по </w:t>
      </w:r>
      <w:proofErr w:type="spellStart"/>
      <w:r>
        <w:t>четырехмандатному</w:t>
      </w:r>
      <w:proofErr w:type="spellEnd"/>
      <w:r>
        <w:t xml:space="preserve"> избирательному округу № 5</w:t>
      </w:r>
      <w:r w:rsidRPr="00832B17">
        <w:t xml:space="preserve"> бланки документов</w:t>
      </w:r>
      <w:r>
        <w:t xml:space="preserve"> </w:t>
      </w:r>
      <w:r w:rsidRPr="00832B17">
        <w:t>и печать</w:t>
      </w:r>
      <w:proofErr w:type="gramEnd"/>
      <w:r w:rsidRPr="00832B17">
        <w:t xml:space="preserve"> </w:t>
      </w:r>
      <w:r>
        <w:t>и</w:t>
      </w:r>
      <w:r w:rsidRPr="00832B17">
        <w:t>збирательной комиссии муниципального образования</w:t>
      </w:r>
      <w:r>
        <w:t xml:space="preserve"> Ключевский район Алтайского края</w:t>
      </w:r>
      <w:r w:rsidRPr="00FF016F">
        <w:t>.</w:t>
      </w:r>
    </w:p>
    <w:p w:rsidR="00317F4F" w:rsidRDefault="00317F4F" w:rsidP="00317F4F">
      <w:pPr>
        <w:pStyle w:val="a3"/>
        <w:numPr>
          <w:ilvl w:val="0"/>
          <w:numId w:val="1"/>
        </w:numPr>
        <w:spacing w:line="276" w:lineRule="auto"/>
        <w:ind w:left="0" w:firstLine="360"/>
        <w:contextualSpacing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Ключевского района Алтайского края и обнародовать настоящее решение на информационном стенде и</w:t>
      </w:r>
      <w:r w:rsidRPr="00832B17">
        <w:t>збирательной комиссии муниципального образования</w:t>
      </w:r>
      <w:r>
        <w:t xml:space="preserve"> Ключевский район Алтайского края.</w:t>
      </w:r>
    </w:p>
    <w:p w:rsidR="00317F4F" w:rsidRDefault="00317F4F" w:rsidP="00317F4F">
      <w:pPr>
        <w:pStyle w:val="a3"/>
        <w:spacing w:line="276" w:lineRule="auto"/>
        <w:ind w:firstLine="709"/>
        <w:contextualSpacing/>
        <w:jc w:val="both"/>
      </w:pPr>
    </w:p>
    <w:p w:rsidR="00317F4F" w:rsidRDefault="00317F4F" w:rsidP="00317F4F">
      <w:pPr>
        <w:pStyle w:val="a3"/>
        <w:spacing w:line="276" w:lineRule="auto"/>
        <w:ind w:firstLine="709"/>
        <w:contextualSpacing/>
        <w:jc w:val="both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317F4F" w:rsidTr="00B17DE4">
        <w:tc>
          <w:tcPr>
            <w:tcW w:w="4248" w:type="dxa"/>
            <w:hideMark/>
          </w:tcPr>
          <w:p w:rsidR="00317F4F" w:rsidRDefault="00317F4F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4F" w:rsidRDefault="00317F4F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4F" w:rsidRDefault="00317F4F" w:rsidP="00B17DE4"/>
          <w:p w:rsidR="00317F4F" w:rsidRPr="000A390B" w:rsidRDefault="00317F4F" w:rsidP="00B17DE4"/>
          <w:p w:rsidR="00317F4F" w:rsidRDefault="00317F4F" w:rsidP="00B17DE4">
            <w:r>
              <w:t>С.В. Сенина</w:t>
            </w:r>
          </w:p>
        </w:tc>
      </w:tr>
      <w:tr w:rsidR="00317F4F" w:rsidTr="00B17DE4">
        <w:tc>
          <w:tcPr>
            <w:tcW w:w="4248" w:type="dxa"/>
          </w:tcPr>
          <w:p w:rsidR="00317F4F" w:rsidRDefault="00317F4F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F4F" w:rsidRDefault="00317F4F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F4F" w:rsidRDefault="00317F4F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317F4F" w:rsidTr="00B17DE4">
        <w:tc>
          <w:tcPr>
            <w:tcW w:w="4248" w:type="dxa"/>
            <w:hideMark/>
          </w:tcPr>
          <w:p w:rsidR="00317F4F" w:rsidRDefault="00317F4F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4F" w:rsidRDefault="00317F4F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4F" w:rsidRDefault="00317F4F" w:rsidP="00B17DE4"/>
          <w:p w:rsidR="00317F4F" w:rsidRPr="000A390B" w:rsidRDefault="00317F4F" w:rsidP="00B17DE4"/>
          <w:p w:rsidR="00317F4F" w:rsidRDefault="00317F4F" w:rsidP="00B17DE4">
            <w:r>
              <w:t>Н.Н. Марченко</w:t>
            </w:r>
          </w:p>
        </w:tc>
      </w:tr>
      <w:tr w:rsidR="00317F4F" w:rsidTr="00B17DE4">
        <w:tc>
          <w:tcPr>
            <w:tcW w:w="4248" w:type="dxa"/>
          </w:tcPr>
          <w:p w:rsidR="00317F4F" w:rsidRDefault="00317F4F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F4F" w:rsidRDefault="00317F4F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F4F" w:rsidRDefault="00317F4F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317F4F" w:rsidRPr="000A390B" w:rsidRDefault="00317F4F" w:rsidP="00317F4F">
      <w:pPr>
        <w:pStyle w:val="a3"/>
        <w:spacing w:line="276" w:lineRule="auto"/>
        <w:contextualSpacing/>
        <w:jc w:val="both"/>
        <w:rPr>
          <w:lang w:val="en-US"/>
        </w:rPr>
      </w:pPr>
    </w:p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/>
    <w:p w:rsidR="00317F4F" w:rsidRDefault="00317F4F" w:rsidP="00317F4F">
      <w:pPr>
        <w:jc w:val="both"/>
      </w:pPr>
    </w:p>
    <w:sectPr w:rsidR="0031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44" w:rsidRDefault="00A61944" w:rsidP="00317F4F">
      <w:r>
        <w:separator/>
      </w:r>
    </w:p>
  </w:endnote>
  <w:endnote w:type="continuationSeparator" w:id="0">
    <w:p w:rsidR="00A61944" w:rsidRDefault="00A61944" w:rsidP="0031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44" w:rsidRDefault="00A61944" w:rsidP="00317F4F">
      <w:r>
        <w:separator/>
      </w:r>
    </w:p>
  </w:footnote>
  <w:footnote w:type="continuationSeparator" w:id="0">
    <w:p w:rsidR="00A61944" w:rsidRDefault="00A61944" w:rsidP="00317F4F">
      <w:r>
        <w:continuationSeparator/>
      </w:r>
    </w:p>
  </w:footnote>
  <w:footnote w:id="1">
    <w:p w:rsidR="00317F4F" w:rsidRPr="005413B8" w:rsidRDefault="00317F4F" w:rsidP="00317F4F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5413B8">
        <w:rPr>
          <w:rStyle w:val="a7"/>
          <w:rFonts w:ascii="Times New Roman" w:hAnsi="Times New Roman"/>
        </w:rPr>
        <w:footnoteRef/>
      </w:r>
      <w:r w:rsidRPr="005413B8">
        <w:rPr>
          <w:rFonts w:ascii="Times New Roman" w:hAnsi="Times New Roman"/>
        </w:rPr>
        <w:t xml:space="preserve"> Указывается наименование органа, принявшего решение о возложении полномочий окружной избирательной комиссии на избирательную комиссию муниципального образования</w:t>
      </w:r>
      <w:r>
        <w:rPr>
          <w:rFonts w:ascii="Times New Roman" w:hAnsi="Times New Roman"/>
        </w:rPr>
        <w:t>. Полномочия окружных избирательных комиссий по выборам депутатов представительного органа муниципального района, городского округа возлагаются на соответствующую избирательную комиссию муниципального образования по решению представительного органа муниципального образования, а по выборам депутатов представительного органа сельского, городского поселения – по решению соответствующей избирательной комиссии сельского, городского поселения, организующей выборы.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3B6"/>
    <w:multiLevelType w:val="hybridMultilevel"/>
    <w:tmpl w:val="1066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4F"/>
    <w:rsid w:val="00317F4F"/>
    <w:rsid w:val="00A6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17F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17F4F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317F4F"/>
  </w:style>
  <w:style w:type="character" w:customStyle="1" w:styleId="a4">
    <w:name w:val="Основной текст Знак"/>
    <w:basedOn w:val="a0"/>
    <w:link w:val="a3"/>
    <w:uiPriority w:val="99"/>
    <w:rsid w:val="00317F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17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317F4F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317F4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317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2020-07-16T10:22:00Z</dcterms:created>
  <dcterms:modified xsi:type="dcterms:W3CDTF">2020-07-16T10:22:00Z</dcterms:modified>
</cp:coreProperties>
</file>