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общественных наставников несовершеннолетних в Алтайском крае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с Законом Алтайского края от 06.12.2023 № 99-ЗС «Об общественных наставниках 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ершеннолетних в Алтайском крае».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Глоссарий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это универсальная технология передачи опыта, знаний, формирования навыков,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метакомпетенций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r>
        <w:rPr>
          <w:rFonts w:ascii="Times New Roman" w:hAnsi="Times New Roman" w:cs="Times New Roman"/>
          <w:sz w:val="28"/>
          <w:szCs w:val="28"/>
        </w:rPr>
        <w:t xml:space="preserve">взаимообогащающее</w:t>
      </w:r>
      <w:r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партнерстве;  это особый вид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 основе которой лежат субъект-субъектные отношения более старшего, обладающего знанием, опытом и мудростью наставника и наставляемого, для удовлетворения индивидуальных потребностей (познавательных, психологических, эмоциональных, социальны</w:t>
      </w:r>
      <w:r>
        <w:rPr>
          <w:rFonts w:ascii="Times New Roman" w:hAnsi="Times New Roman" w:cs="Times New Roman"/>
          <w:sz w:val="28"/>
          <w:szCs w:val="28"/>
        </w:rPr>
        <w:t xml:space="preserve">х, духовных, образовательных, профессиональных и др.) которого необходимы мотивирующая обучающая среда, индивидуальная поддержка и сопровождение, характеризующиеся долговременностью, наличием общего интереса, взаимного уважения и доверия, добровольностью, </w:t>
      </w:r>
      <w:r>
        <w:rPr>
          <w:rFonts w:ascii="Times New Roman" w:hAnsi="Times New Roman" w:cs="Times New Roman"/>
          <w:sz w:val="28"/>
          <w:szCs w:val="28"/>
        </w:rPr>
        <w:t xml:space="preserve">эмпатией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это гражданин, отвечающий требованиям, установленным Законом Алтайского края от 06.12.2023 № 99-ЗС «Об общественных наставниках несове</w:t>
      </w:r>
      <w:r>
        <w:rPr>
          <w:rFonts w:ascii="Times New Roman" w:hAnsi="Times New Roman" w:cs="Times New Roman"/>
          <w:sz w:val="28"/>
          <w:szCs w:val="28"/>
        </w:rPr>
        <w:t xml:space="preserve">ршеннолетних в Алтайском крае».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>
        <w:rPr>
          <w:rFonts w:ascii="Times New Roman" w:hAnsi="Times New Roman" w:cs="Times New Roman"/>
          <w:sz w:val="28"/>
          <w:szCs w:val="28"/>
        </w:rPr>
        <w:t xml:space="preserve">– это несовершеннолетний гражданин, который через взаимодействие с общественным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организация работы наставнической пары (общественный наставник – наставляемый), которая находятся в заданной обстоятельствами ролевой ситуации, определяемой основной деятельностью и позицией участников.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ежведомственная индивидуальная программа реабилитации и адаптации несовершеннолетних и семей, находящихс</w:t>
      </w:r>
      <w:r>
        <w:rPr>
          <w:rFonts w:ascii="Times New Roman" w:hAnsi="Times New Roman" w:cs="Times New Roman"/>
          <w:b/>
          <w:sz w:val="28"/>
          <w:szCs w:val="28"/>
        </w:rPr>
        <w:t xml:space="preserve">я в социально опасном положени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правовой акт, устанавливающий план мероприятий, выполнение которых необходимо для проведения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работы в отношении несовершеннолетних и семей, находящихся в социально опасном положении.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общественного наставничества: порядок действий,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 участников и результаты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 функционирование системы общественного наставничества состоит из следующих основных этапов: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Начальный этап</w:t>
      </w:r>
      <w:r>
        <w:rPr>
          <w:rFonts w:ascii="Times New Roman" w:hAnsi="Times New Roman" w:cs="Times New Roman"/>
          <w:sz w:val="28"/>
          <w:szCs w:val="28"/>
        </w:rPr>
        <w:t xml:space="preserve"> – подбор общественных наставников, подготовка документов, регламентирующих деятельность общественных наставников. Рассмотрение документов на заседании муниципальной комиссии по делам несовершеннолетних и защите их прав. Обучение общественных наставников.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– работа наставнических пар.</w:t>
      </w:r>
      <w:r/>
    </w:p>
    <w:p>
      <w:pPr>
        <w:ind w:firstLine="708"/>
        <w:jc w:val="both"/>
        <w:spacing w:after="0" w:line="276" w:lineRule="auto"/>
        <w:tabs>
          <w:tab w:val="right" w:pos="9355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– мониторинг и аналитическая работа. Дальнейшее планирование деятельности. Формулирование рекомендаций.</w:t>
      </w:r>
      <w:r>
        <w:tab/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наставниками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Учителя, педагоги, тренеры-преподаватели, имеющие успешный опыт в достижении жизненного результата, личностного и профессионального, способные и готовые поделиться этим опытом, необходимым для самореализации и самосовершенствования наставляемого.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обучающихся - активные участники родительских или управляющих советов, организаторы досуговой деятельности в образовательной организации и другие представители родительского сообщества с выраженной гражданской позицией.</w:t>
      </w:r>
      <w:r/>
    </w:p>
    <w:p>
      <w:pPr>
        <w:ind w:firstLine="708"/>
        <w:jc w:val="both"/>
        <w:spacing w:after="0" w:line="276" w:lineRule="auto"/>
        <w:rPr>
          <w:rFonts w:ascii="Segoe UI Symbol" w:hAnsi="Segoe UI Symbol"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– обладающие качеством личной самоорганизации и выстраиванием гармоничных межличностных отношений, ответственные, социально активные,</w:t>
      </w:r>
      <w:r>
        <w:rPr>
          <w:rFonts w:ascii="Times New Roman" w:hAnsi="Times New Roman" w:cs="Times New Roman"/>
          <w:sz w:val="28"/>
          <w:szCs w:val="28"/>
        </w:rPr>
        <w:t xml:space="preserve"> с выраженной гражданской и ценностной позицией, мотивированные к самосовершенствованию и преобразованию окружающей среды. Участники образовательных, спортивных, творческих проектов. Увлекающиеся и способные передать свою творческую энергию наставляемому.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Работодатели – представители предприятия, обладающие профессиональным и личностным потенциалом, неравнодушны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профессионалы с большим опытом работы, активной жизненной позицией, с высокой квалификацией. Обладающие развитыми коммуникативными навыками, гибкостью в общении, умением отнестись к наставляемому как к равному в диалоге и потенциально будущему коллеге. 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Депутаты, ветераны труда, участники СВО, члены общественных организаций – активные граждане местного сообществ, лидеры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мнения, обладающие жизненным опытом и высокими коммуникативными навыками.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Оператором обучения является КАУ ДПО АИРО им. А.М. </w:t>
      </w:r>
      <w:r>
        <w:rPr>
          <w:rFonts w:ascii="Times New Roman" w:hAnsi="Times New Roman" w:cs="Times New Roman"/>
          <w:sz w:val="28"/>
          <w:szCs w:val="28"/>
        </w:rPr>
        <w:t xml:space="preserve">Топорова</w:t>
      </w:r>
      <w:r>
        <w:rPr>
          <w:rFonts w:ascii="Times New Roman" w:hAnsi="Times New Roman" w:cs="Times New Roman"/>
          <w:sz w:val="28"/>
          <w:szCs w:val="28"/>
        </w:rPr>
        <w:t xml:space="preserve">, который разрабатывает и реализует программу подготовки общественных наставников, а также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посткурсовое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наставником направляется на электронную почту КАУ ДПО АИРО им. А.М. </w:t>
      </w:r>
      <w:r>
        <w:rPr>
          <w:rFonts w:ascii="Times New Roman" w:hAnsi="Times New Roman" w:cs="Times New Roman"/>
          <w:sz w:val="28"/>
          <w:szCs w:val="28"/>
        </w:rPr>
        <w:t xml:space="preserve">Топорова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mailto:info@iro22.ru" w:history="1"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info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</w:rPr>
          <w:t xml:space="preserve">@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iro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</w:rPr>
          <w:t xml:space="preserve">22.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«Общественные наставники» (Приложение 4).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заявки, на электронную почту общественного наставника направляется ссылка на обучающий модуль.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проходит в дистанционном формате в удобное для общественного наставника время. После прохождения итогового тестирования на электронную почту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наставника высылается справка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обучения. После этого общественный наставник может п</w:t>
      </w:r>
      <w:r>
        <w:rPr>
          <w:rFonts w:ascii="Times New Roman" w:hAnsi="Times New Roman" w:cs="Times New Roman"/>
          <w:sz w:val="28"/>
          <w:szCs w:val="28"/>
        </w:rPr>
        <w:t xml:space="preserve">риступать к своей деятельности.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Посткурсовое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посредством электронной почты: общественный наставник направляет вопросы на электронную почту КАУ ДПО АИРО им. А.М. </w:t>
      </w:r>
      <w:r>
        <w:rPr>
          <w:rFonts w:ascii="Times New Roman" w:hAnsi="Times New Roman" w:cs="Times New Roman"/>
          <w:sz w:val="28"/>
          <w:szCs w:val="28"/>
        </w:rPr>
        <w:t xml:space="preserve">Топорова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mailto:info@iro22.ru" w:history="1"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info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</w:rPr>
          <w:t xml:space="preserve">@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iro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</w:rPr>
          <w:t xml:space="preserve">22.</w:t>
        </w:r>
        <w:r>
          <w:rPr>
            <w:rStyle w:val="90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«Общественные наставники», получает обратную связь.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подготовке будущих общественных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наставников привлекаются опытные и успешные наставники, эксперты, специалисты по наставничеству.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орг</w:t>
      </w:r>
      <w:r>
        <w:rPr>
          <w:rFonts w:ascii="Times New Roman" w:hAnsi="Times New Roman" w:cs="Times New Roman"/>
          <w:sz w:val="28"/>
          <w:szCs w:val="28"/>
        </w:rPr>
        <w:t xml:space="preserve">анизуется работа наставнической пары: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</w:t>
      </w:r>
      <w:r>
        <w:rPr>
          <w:rFonts w:ascii="Times New Roman" w:hAnsi="Times New Roman" w:cs="Times New Roman"/>
          <w:sz w:val="28"/>
          <w:szCs w:val="28"/>
        </w:rPr>
        <w:t xml:space="preserve">-знакомство;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пробная рабочая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</w:t>
      </w:r>
      <w:r>
        <w:rPr>
          <w:rFonts w:ascii="Times New Roman" w:hAnsi="Times New Roman" w:cs="Times New Roman"/>
          <w:sz w:val="28"/>
          <w:szCs w:val="28"/>
        </w:rPr>
        <w:t xml:space="preserve">-планирование;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омплекс последовательных встреч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встреча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этом этапе необходимо выявить конкретные проблемы несовершеннолетнего, которые можно решить с помощью наставничества.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таких проблем могут быть низкая успеваемость, отсутствие мотивации к обучению, отсутствие внеурочной и досуговой составляющей, подавленность подростков из-за неопределенных перспектив и ценностной дезориентации и т.д.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совместно обсудить цели, задачи и возможные ожидаемые результаты наставничества как для самих наставляемых, так и их наставников, а также принципы и режим безопасной коммуникации.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работы общественного наставника, способствующие организации эффективного сотрудничества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всех задач наставничества, могут быть выражены следующим набором категорий: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(</w:t>
      </w:r>
      <w:r>
        <w:rPr>
          <w:rFonts w:ascii="Times New Roman" w:hAnsi="Times New Roman" w:cs="Times New Roman"/>
          <w:sz w:val="28"/>
          <w:szCs w:val="28"/>
        </w:rPr>
        <w:t xml:space="preserve">неосуждение</w:t>
      </w:r>
      <w:r>
        <w:rPr>
          <w:rFonts w:ascii="Times New Roman" w:hAnsi="Times New Roman" w:cs="Times New Roman"/>
          <w:sz w:val="28"/>
          <w:szCs w:val="28"/>
        </w:rPr>
        <w:t xml:space="preserve"> наставляемого).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слушать и слышать.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задавать вопросы. 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(отношение к наставляемому как к равному).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Честность и открытость. 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Надежность и ответственность. </w:t>
      </w:r>
      <w:r/>
    </w:p>
    <w:p>
      <w:pPr>
        <w:pStyle w:val="924"/>
        <w:numPr>
          <w:ilvl w:val="0"/>
          <w:numId w:val="8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здесь будет сказываться человеческий фактор, в первую очередь – профессиональный почерк общественного наставника. Кто-то в большей мере ориентирован на под</w:t>
      </w:r>
      <w:r>
        <w:rPr>
          <w:rFonts w:ascii="Times New Roman" w:hAnsi="Times New Roman" w:cs="Times New Roman"/>
          <w:sz w:val="28"/>
          <w:szCs w:val="28"/>
        </w:rPr>
        <w:t xml:space="preserve">робное объяснение, демонстрацию своего опыта; кто-то – организует практическую деятельность; кто-то – делится своими разработками. Сочетание всех этих ипостасей встречается не так уж и часто. Тем не менее, можно рекомендовать такой классический алгоритм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скажу – ты слушай» – «Я покажу – ты попробуй – «Сделаем вместе» – «Сделай сам – я подскажу» – «Сделай сам и расскажи, что и с каким результатом сделал».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техники реализации системы наставничества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мировой практике выделено пять основных техник реализации системы наставничества: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«сопровождение» – общественный наставник предоставляет наставляемому необходимую и своевременную помощь, в том числе посредством участия в развитии его умений и компетенций в процессе обучения;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«посев» – общественный наставник содействует формированию у наставляемого знаний и умений, которые в данный момент для него не актуальны, но приобретут ценность в недалекой перспективе, когда новая ситуация этого потребует;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cs="Times New Roman"/>
          <w:sz w:val="28"/>
          <w:szCs w:val="28"/>
        </w:rPr>
        <w:t xml:space="preserve">катализация</w:t>
      </w:r>
      <w:r>
        <w:rPr>
          <w:rFonts w:ascii="Times New Roman" w:hAnsi="Times New Roman" w:cs="Times New Roman"/>
          <w:sz w:val="28"/>
          <w:szCs w:val="28"/>
        </w:rPr>
        <w:t xml:space="preserve">» – наставляемый погружается в среду изменений в различных сферах деятельности, что дает импульс расширению его личностного и психолого-педагогического кругозора, трансформации его личностных ценностей;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«показ» – общественный наставник на своем собственном примере демонстрирует технологии, методики, приемы обучения и воспитания как </w:t>
      </w:r>
      <w:r>
        <w:rPr>
          <w:rFonts w:ascii="Times New Roman" w:hAnsi="Times New Roman" w:cs="Times New Roman"/>
          <w:sz w:val="28"/>
          <w:szCs w:val="28"/>
        </w:rPr>
        <w:t xml:space="preserve">способы решения образовательных и жизненных задач, которые должен решать наставляемый;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«сбор урожая» – общественный наставник концентрирует свое внимание и деятельность на получении обратной связи с наставляемым с целью анализа и осмысления достигнутых результатов и определения дальнейших перспектив.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оказывает влияние не только </w:t>
      </w:r>
      <w:r>
        <w:rPr>
          <w:rFonts w:ascii="Times New Roman" w:hAnsi="Times New Roman" w:cs="Times New Roman"/>
          <w:sz w:val="28"/>
          <w:szCs w:val="28"/>
        </w:rPr>
        <w:t xml:space="preserve">на наставляемого. Для общественного наставника это – также новый этап его профессионального и личностного роста, получение нового опыта и освоение новых компетенций, организационных вопросов, мониторинг реализации и получение обратной связи от участников.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</w:t>
      </w:r>
      <w:r>
        <w:rPr>
          <w:rFonts w:ascii="Times New Roman" w:hAnsi="Times New Roman" w:cs="Times New Roman"/>
          <w:sz w:val="28"/>
          <w:szCs w:val="28"/>
        </w:rPr>
        <w:t xml:space="preserve"> приведен ориентировочный перечень положительных качеств наставника.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3 представлены важные этические правила общения и поведения наставника, которые необходимо помнить.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4 приведен примерный Кодекс общественного наставника.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также, что система наставничества классифицируется по степени открытости воздействия и взаимодействия (модификация по С.Г. </w:t>
      </w:r>
      <w:r>
        <w:rPr>
          <w:rFonts w:ascii="Times New Roman" w:hAnsi="Times New Roman" w:cs="Times New Roman"/>
          <w:sz w:val="28"/>
          <w:szCs w:val="28"/>
        </w:rPr>
        <w:t xml:space="preserve">Вершловскому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-прямое (открытое) – непосредственный контакт общественного наставника с несовершеннолетним, общение с ним не только в рабочее время, но и в неформальной обстановке;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опосредованное (скрытое) – осуществление только формального контакта путем советов, рекомендаций общественного наставника, личные контакты и непосредственное влияние сводятся к минимуму.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работы наставнических пар проводится мониторинг достижения целей и задач межведомственной индивидуальной программы реабилитации и адаптации несовершен</w:t>
      </w:r>
      <w:r>
        <w:rPr>
          <w:rFonts w:ascii="Times New Roman" w:hAnsi="Times New Roman" w:cs="Times New Roman"/>
          <w:sz w:val="28"/>
          <w:szCs w:val="28"/>
        </w:rPr>
        <w:t xml:space="preserve">нолетнего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дальнейшее планирование деятельности и формулируются рекомендации.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предназначен не только для фиксации ре</w:t>
      </w:r>
      <w:r>
        <w:rPr>
          <w:rFonts w:ascii="Times New Roman" w:hAnsi="Times New Roman" w:cs="Times New Roman"/>
          <w:sz w:val="28"/>
          <w:szCs w:val="28"/>
        </w:rPr>
        <w:t xml:space="preserve">зультатов, но и для организации комфортного выхода общественного наставника и наставляемого из наставнических отношений с перспективой продолжения цикла – вступления в новый этап отношений, продолжения общения на неформальном уровне, смены ролевых позиций.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наставнической пары предусмотрены два основных варианта завершения наставнического взаимодействия: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запланированное (завершение межведомственной индивидуальной программы реабилитации и адаптации несовершеннолетнего, достижение целей наставничества и т.д.);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незапланированное (смена места проживания, болезнь участника, невозможность уделять наставляемому достаточно времени, межличностные конфликты и иные основания для прекращения деятельности общественного наставника).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наставнической пары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КДНиЗП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</w:t>
      </w:r>
      <w:r>
        <w:rPr>
          <w:rFonts w:ascii="Times New Roman" w:hAnsi="Times New Roman" w:cs="Times New Roman"/>
          <w:sz w:val="28"/>
          <w:szCs w:val="28"/>
        </w:rPr>
        <w:t xml:space="preserve">ого, чтобы наставничество функционировало как развивающаяся система, совершенствовались его формы и типы, в муниципальном образовании может быть создан Совет наставников, который по мере необходимости будет осуществлять взаимодействие с другими субъектами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Ориентировочный перечень 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положительных качеств общественного наставника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общественный наставник должен отличаться целым рядом положительных качеств, в частности: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обладать высоким уровнем лояльности к несовершеннолетнему, быть носителем ключевых общечеловеческих ценностей культуры;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системное представление о наставничестве;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обладать значительным опытом в сфере своей профессиональной деятельности;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желание быть общественным наставником, иначе наставничество будет восприниматься как дополнительная нагрузка, а это рано или поздно скажется на качестве;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искреннее стремление помогать подопечному, а не просто от случая к случаю оценивать результаты его достижений;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готовым инвестировать свое время в развитие наставляемого (это один из самых болезненных вопросов: стать хорошим наставником невозможно, если стремление помогать не является для человека безусловной ценностью);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способным к конструк</w:t>
      </w:r>
      <w:r>
        <w:rPr>
          <w:rFonts w:ascii="Times New Roman" w:hAnsi="Times New Roman" w:cs="Times New Roman"/>
          <w:sz w:val="28"/>
          <w:szCs w:val="28"/>
        </w:rPr>
        <w:t xml:space="preserve">тивной критике: главное слово здесь — «конструктивная» (когда общественный наставник дает оценку действий наставляемого, это не должно напоминать критический анализ — оценка в первую очередь должна содержать конкретные предложения по совместным действиям);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инициативу и регулярно предоставлять обратную связь: хороший общественный наставник — всегда в курсе проблем наставляемого, а если у подопечного появляются проблемы, он принимает меры немедленно, чтобы своевременно скорректировать ситуацию. </w:t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иложение 2</w:t>
      </w:r>
      <w:r/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Важные этические правила общения и поведения общественного наставника, которые необходимо помнить</w:t>
      </w:r>
      <w:r/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Построение доверительных взаимоотношений с подопе</w:t>
      </w:r>
      <w:r>
        <w:rPr>
          <w:rFonts w:ascii="Times New Roman" w:hAnsi="Times New Roman" w:cs="Times New Roman"/>
          <w:sz w:val="28"/>
          <w:szCs w:val="28"/>
        </w:rPr>
        <w:t xml:space="preserve">чными. В отношениях должны присутствовать доброжелательность, взаимное уважение, доверие и желание работать ВМЕСТЕ. Основное правило – разъяснение, а не осуждение. Конфиденциальность. Правила и способы поддержания конфиденциальности оговариваются заранее.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Объективное оценивание с целью выявления зон роста и последующего предоставления обратной связи и обучения. Общественному наставнику необходимо: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собирать и анализировать информацию о том, что умеет и в чем затрудняется наставляемый;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методы и стратегии, которые помогут несовершеннолетнему преодолеть трудности;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выяснить, что поможет наставляемому лучше воспринять, обработать и усвоить информацию, получаемую от общественного наставника (какой подход применить).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Применение метода </w:t>
      </w:r>
      <w:r>
        <w:rPr>
          <w:rFonts w:ascii="Times New Roman" w:hAnsi="Times New Roman" w:cs="Times New Roman"/>
          <w:sz w:val="28"/>
          <w:szCs w:val="28"/>
        </w:rPr>
        <w:t xml:space="preserve">коучинга</w:t>
      </w:r>
      <w:r>
        <w:rPr>
          <w:rFonts w:ascii="Times New Roman" w:hAnsi="Times New Roman" w:cs="Times New Roman"/>
          <w:sz w:val="28"/>
          <w:szCs w:val="28"/>
        </w:rPr>
        <w:t xml:space="preserve"> в работе с несовершеннолетним, который поможет ему находить свои отличительные преимущества, избегать ошибки, принимать осознанные решения, определиться с выбором будущей профессии.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Помощь наставляемому в поиске собственного пути. Цель общественного наставника – содействовать обучению, воспитанию и профессиональному самоопределению несовершеннолетнего, его личностному росту.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принципы наставничества: добровольность; открытость; компетентность; соблюдение общечеловеческих норм этики и общения. </w:t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ind w:firstLine="708"/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общественного наставника</w:t>
      </w:r>
      <w:r/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Общественный наставник помогает наставляемому осознать свои сильные и слабые стороны и определить векторы развития.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Общественный наставник ориентируется на близкие, достижимые для наставляемого цели, но обсуждает с ним также долгосрочную перспективу и будущее; четко и понятно формулирует задачи, которые ставит перед наставляемым.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Общественный наставник является примером жизни, поведения и ценностей для наставляемого. Все, что он требует от наставляемого, должен знать и уметь сам.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Общественный наставник постоянно работает над повышением своего профессионального и культурного уровня.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Общественный наставник предлагает помощь в достижении целей и потребностей наставляемого и указывает на риски и противоречия.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Наставнические отношения формируются в условиях доверия, взаимообогащения, открытого диалога, который ведется на равных и дипломатично.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Общественный наставник не навязывает наставляемому собственное мнение и позицию, но стимулирует развитие у наставляемого индивидуального видения.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Общественный наставник не обсуждает со своим наставляемым личные качества и недостатки своих коллег, друзей и руководителей.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Общественный 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Общественный наставник творчески подходит к выполнению своей работы, используя различные способы обучения, наставляемого и помощи ему в развитии прикладных умений и компетенций.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Общественный наставник не боится признавать свои ошибки.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Общественный наставник помогает наставляемому преодолевать плохое настроение и неудачи, мотивирует, ободряет его и хвалит, если проделанная им работа заслуживает одобрения.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Общественный наставник не допускает, чтобы его плохое настроение и неудачи сказывалось на работе с наставляемым.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Общественный наставник всегда дает обратную связь, как положительную, так и отрицательную. </w:t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</w:t>
      </w:r>
      <w:r/>
    </w:p>
    <w:p>
      <w:pPr>
        <w:ind w:firstLine="708"/>
        <w:jc w:val="righ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80"/>
        <w:tblW w:w="0" w:type="auto"/>
        <w:tblInd w:w="5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</w:tblGrid>
      <w:tr>
        <w:trPr/>
        <w:tc>
          <w:tcPr>
            <w:tcW w:w="4247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КАУ ДПО АИРО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Топорова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 а я в л е н и е</w:t>
      </w:r>
      <w:r/>
    </w:p>
    <w:p>
      <w:pPr>
        <w:ind w:firstLine="708"/>
        <w:spacing w:after="0" w:line="22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меня </w:t>
      </w:r>
      <w:r>
        <w:rPr>
          <w:rFonts w:ascii="Times New Roman" w:hAnsi="Times New Roman" w:cs="Times New Roman"/>
          <w:sz w:val="28"/>
          <w:szCs w:val="28"/>
        </w:rPr>
        <w:t xml:space="preserve">в число слушателей КАУ ДПО АИРО им. А.М, </w:t>
      </w:r>
      <w:r>
        <w:rPr>
          <w:rFonts w:ascii="Times New Roman" w:hAnsi="Times New Roman" w:cs="Times New Roman"/>
          <w:sz w:val="28"/>
          <w:szCs w:val="28"/>
        </w:rPr>
        <w:t xml:space="preserve">Топорова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обучение по программе подготовки общественных наставников.</w:t>
      </w:r>
      <w:r/>
    </w:p>
    <w:p>
      <w:pPr>
        <w:ind w:firstLine="708"/>
        <w:spacing w:after="0" w:line="221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на обучение получено от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наименование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муниципальной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КДНиЗП</w:t>
      </w:r>
      <w:r>
        <w:rPr>
          <w:vertAlign w:val="superscript"/>
        </w:rPr>
      </w:r>
      <w:r>
        <w:rPr>
          <w:vertAlign w:val="superscript"/>
        </w:rPr>
      </w:r>
    </w:p>
    <w:tbl>
      <w:tblPr>
        <w:tblStyle w:val="780"/>
        <w:tblW w:w="9351" w:type="dxa"/>
        <w:tblLayout w:type="fixed"/>
        <w:tblLook w:val="04A0" w:firstRow="1" w:lastRow="0" w:firstColumn="1" w:lastColumn="0" w:noHBand="0" w:noVBand="1"/>
      </w:tblPr>
      <w:tblGrid>
        <w:gridCol w:w="1842"/>
        <w:gridCol w:w="1981"/>
        <w:gridCol w:w="2271"/>
        <w:gridCol w:w="1414"/>
        <w:gridCol w:w="1843"/>
      </w:tblGrid>
      <w:tr>
        <w:trPr/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</w:t>
            </w:r>
            <w:r/>
          </w:p>
          <w:p>
            <w:pPr>
              <w:jc w:val="center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наставника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Муниципалитет, место работы, должность</w:t>
            </w:r>
            <w:r/>
          </w:p>
        </w:tc>
        <w:tc>
          <w:tcPr>
            <w:tcW w:w="2271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наименование учреждения, специальность, год окончания обучения. Сведения о повышении квалификации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/>
          </w:p>
          <w:p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</w:t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71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1623"/>
        </w:trPr>
        <w:tc>
          <w:tcPr>
            <w:tcW w:w="9641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11"/>
              </w:numPr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подпись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ественного наставника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Подтверждаю, что ознакомлен(а), в том числе через информационные системы общего пользования: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лицензией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КАУ ДПО АИРО им. А.М.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Топорова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право ведения образовательной деятельности;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Уставом КАУ ДПО АИРО им. А.М.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Топорова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нормативными документами КАУ ДПО АИРО им. А.М.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Топорова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определяющими обработку и хранение персональных данных;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tabs>
                <w:tab w:val="left" w:pos="190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 внутреннего распорядка для участников образовательных отношений;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локальными актами КАУ ДПО АИРО им. А.М.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Топорова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регламентирующими организацию образовательного процесса. </w:t>
            </w:r>
            <w:r>
              <w:rPr>
                <w:sz w:val="26"/>
                <w:szCs w:val="26"/>
              </w:rPr>
            </w:r>
          </w:p>
          <w:p>
            <w:pPr>
              <w:ind w:firstLine="708"/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24"/>
              <w:numPr>
                <w:ilvl w:val="0"/>
                <w:numId w:val="11"/>
              </w:numPr>
              <w:jc w:val="both"/>
              <w:spacing w:after="0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общественного наставника)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firstLine="708"/>
        <w:jc w:val="both"/>
        <w:spacing w:after="0" w:line="255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</w:t>
      </w:r>
      <w:r>
        <w:rPr>
          <w:rFonts w:ascii="Times New Roman" w:hAnsi="Times New Roman" w:cs="Times New Roman"/>
          <w:sz w:val="26"/>
          <w:szCs w:val="26"/>
        </w:rPr>
        <w:t xml:space="preserve">ение следующих персональных данных: фамилия; имя; отчество; пол; гражданство; сведения об образовании и (или) о квалификации, наименование организации, выдавшей документ; номер телефона; иных данных, связанных с приемом и обучением в КАУ ДПО АИРО им. А.М. </w:t>
      </w:r>
      <w:r>
        <w:rPr>
          <w:rFonts w:ascii="Times New Roman" w:hAnsi="Times New Roman" w:cs="Times New Roman"/>
          <w:sz w:val="26"/>
          <w:szCs w:val="26"/>
        </w:rPr>
        <w:t xml:space="preserve">Топорова</w:t>
      </w:r>
      <w:r>
        <w:rPr>
          <w:rFonts w:ascii="Times New Roman" w:hAnsi="Times New Roman" w:cs="Times New Roman"/>
          <w:sz w:val="26"/>
          <w:szCs w:val="26"/>
        </w:rPr>
        <w:t xml:space="preserve">. Персональные данные предоставля</w:t>
      </w:r>
      <w:r>
        <w:rPr>
          <w:rFonts w:ascii="Times New Roman" w:hAnsi="Times New Roman" w:cs="Times New Roman"/>
          <w:sz w:val="26"/>
          <w:szCs w:val="26"/>
        </w:rPr>
        <w:t xml:space="preserve">ются для организации обучения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оказания образовательных услуг, в соответствии с лицензией КАУ ДПО АИРО им. А.М. </w:t>
      </w:r>
      <w:r>
        <w:rPr>
          <w:rFonts w:ascii="Times New Roman" w:hAnsi="Times New Roman" w:cs="Times New Roman"/>
          <w:sz w:val="26"/>
          <w:szCs w:val="26"/>
        </w:rPr>
        <w:t xml:space="preserve">Топорова</w:t>
      </w:r>
      <w:r>
        <w:rPr>
          <w:rFonts w:ascii="Times New Roman" w:hAnsi="Times New Roman" w:cs="Times New Roman"/>
          <w:sz w:val="26"/>
          <w:szCs w:val="26"/>
        </w:rPr>
        <w:t xml:space="preserve">. Согласие на обработку персональных данных действует в течение всего срока </w:t>
      </w:r>
      <w:r>
        <w:rPr>
          <w:rFonts w:ascii="Times New Roman" w:hAnsi="Times New Roman" w:cs="Times New Roman"/>
          <w:sz w:val="26"/>
          <w:szCs w:val="26"/>
        </w:rPr>
        <w:t xml:space="preserve">обучения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не менее 3-х лет после </w:t>
      </w:r>
      <w:r>
        <w:rPr>
          <w:rFonts w:ascii="Times New Roman" w:hAnsi="Times New Roman" w:cs="Times New Roman"/>
          <w:sz w:val="26"/>
          <w:szCs w:val="26"/>
        </w:rPr>
        <w:t xml:space="preserve">завершения обучения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ind w:firstLine="708"/>
        <w:jc w:val="both"/>
        <w:spacing w:after="0" w:line="255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pStyle w:val="924"/>
        <w:numPr>
          <w:ilvl w:val="0"/>
          <w:numId w:val="11"/>
        </w:numPr>
        <w:jc w:val="both"/>
        <w:spacing w:after="0" w:line="255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_________________подпись общественного наставника</w:t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b050"/>
          <w:sz w:val="28"/>
          <w:szCs w:val="28"/>
        </w:rPr>
      </w:r>
      <w:r/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1673743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88" w:hanging="72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68"/>
    <w:uiPriority w:val="10"/>
    <w:rPr>
      <w:sz w:val="48"/>
      <w:szCs w:val="48"/>
    </w:rPr>
  </w:style>
  <w:style w:type="character" w:styleId="740">
    <w:name w:val="Subtitle Char"/>
    <w:basedOn w:val="755"/>
    <w:link w:val="770"/>
    <w:uiPriority w:val="11"/>
    <w:rPr>
      <w:sz w:val="24"/>
      <w:szCs w:val="24"/>
    </w:rPr>
  </w:style>
  <w:style w:type="character" w:styleId="741">
    <w:name w:val="Quote Char"/>
    <w:link w:val="772"/>
    <w:uiPriority w:val="29"/>
    <w:rPr>
      <w:i/>
    </w:rPr>
  </w:style>
  <w:style w:type="character" w:styleId="742">
    <w:name w:val="Intense Quote Char"/>
    <w:link w:val="774"/>
    <w:uiPriority w:val="30"/>
    <w:rPr>
      <w:i/>
    </w:rPr>
  </w:style>
  <w:style w:type="character" w:styleId="743">
    <w:name w:val="Footnote Text Char"/>
    <w:link w:val="907"/>
    <w:uiPriority w:val="99"/>
    <w:rPr>
      <w:sz w:val="18"/>
    </w:rPr>
  </w:style>
  <w:style w:type="character" w:styleId="744">
    <w:name w:val="Endnote Text Char"/>
    <w:link w:val="910"/>
    <w:uiPriority w:val="99"/>
    <w:rPr>
      <w:sz w:val="20"/>
    </w:r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8">
    <w:name w:val="Heading 3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Заголовок 1 Знак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basedOn w:val="755"/>
    <w:link w:val="747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  <w:pPr>
      <w:spacing w:after="0" w:line="240" w:lineRule="auto"/>
    </w:pPr>
  </w:style>
  <w:style w:type="paragraph" w:styleId="768">
    <w:name w:val="Title"/>
    <w:basedOn w:val="745"/>
    <w:next w:val="745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basedOn w:val="755"/>
    <w:link w:val="768"/>
    <w:uiPriority w:val="10"/>
    <w:rPr>
      <w:sz w:val="48"/>
      <w:szCs w:val="48"/>
    </w:rPr>
  </w:style>
  <w:style w:type="paragraph" w:styleId="770">
    <w:name w:val="Subtitle"/>
    <w:basedOn w:val="745"/>
    <w:next w:val="745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basedOn w:val="755"/>
    <w:link w:val="770"/>
    <w:uiPriority w:val="11"/>
    <w:rPr>
      <w:sz w:val="24"/>
      <w:szCs w:val="24"/>
    </w:rPr>
  </w:style>
  <w:style w:type="paragraph" w:styleId="772">
    <w:name w:val="Quote"/>
    <w:basedOn w:val="745"/>
    <w:next w:val="745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45"/>
    <w:next w:val="745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55"/>
    <w:uiPriority w:val="99"/>
  </w:style>
  <w:style w:type="character" w:styleId="777" w:customStyle="1">
    <w:name w:val="Footer Char"/>
    <w:basedOn w:val="755"/>
    <w:uiPriority w:val="99"/>
  </w:style>
  <w:style w:type="paragraph" w:styleId="778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>
    <w:name w:val="Table Grid"/>
    <w:basedOn w:val="7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Table Grid Light"/>
    <w:basedOn w:val="7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>
    <w:name w:val="Plain Table 1"/>
    <w:basedOn w:val="7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5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0" w:customStyle="1">
    <w:name w:val="Grid Table 4 - Accent 2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Grid Table 4 - Accent 3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2" w:customStyle="1">
    <w:name w:val="Grid Table 4 - Accent 4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Grid Table 4 - Accent 5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4" w:customStyle="1">
    <w:name w:val="Grid Table 4 - Accent 6"/>
    <w:basedOn w:val="7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5">
    <w:name w:val="Grid Table 5 Dark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4" w:customStyle="1">
    <w:name w:val="Grid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5" w:customStyle="1">
    <w:name w:val="Grid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6" w:customStyle="1">
    <w:name w:val="Grid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7" w:customStyle="1">
    <w:name w:val="Grid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 w:customStyle="1">
    <w:name w:val="Grid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9">
    <w:name w:val="Grid Table 7 Colorful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3" w:customStyle="1">
    <w:name w:val="List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4" w:customStyle="1">
    <w:name w:val="List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5" w:customStyle="1">
    <w:name w:val="List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6" w:customStyle="1">
    <w:name w:val="List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7" w:customStyle="1">
    <w:name w:val="List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8">
    <w:name w:val="List Table 7 Colorful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 &amp; Lined - Accent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Bordered &amp; Lined - Accent 2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Bordered &amp; Lined - Accent 3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Bordered &amp; Lined - Accent 4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Bordered &amp; Lined - Accent 5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Bordered &amp; Lined - Accent 6"/>
    <w:basedOn w:val="7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1" w:customStyle="1">
    <w:name w:val="Bordered - Accent 2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2" w:customStyle="1">
    <w:name w:val="Bordered - Accent 3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3" w:customStyle="1">
    <w:name w:val="Bordered - Accent 4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4" w:customStyle="1">
    <w:name w:val="Bordered - Accent 5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5" w:customStyle="1">
    <w:name w:val="Bordered - Accent 6"/>
    <w:basedOn w:val="7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563c1" w:themeColor="hyperlink"/>
      <w:u w:val="single"/>
    </w:rPr>
  </w:style>
  <w:style w:type="paragraph" w:styleId="907">
    <w:name w:val="footnote text"/>
    <w:basedOn w:val="745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5"/>
    <w:uiPriority w:val="99"/>
    <w:unhideWhenUsed/>
    <w:rPr>
      <w:vertAlign w:val="superscript"/>
    </w:rPr>
  </w:style>
  <w:style w:type="paragraph" w:styleId="910">
    <w:name w:val="endnote text"/>
    <w:basedOn w:val="745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5"/>
    <w:uiPriority w:val="99"/>
    <w:semiHidden/>
    <w:unhideWhenUsed/>
    <w:rPr>
      <w:vertAlign w:val="superscript"/>
    </w:rPr>
  </w:style>
  <w:style w:type="paragraph" w:styleId="913">
    <w:name w:val="toc 1"/>
    <w:basedOn w:val="745"/>
    <w:next w:val="745"/>
    <w:uiPriority w:val="39"/>
    <w:unhideWhenUsed/>
    <w:pPr>
      <w:spacing w:after="57"/>
    </w:pPr>
  </w:style>
  <w:style w:type="paragraph" w:styleId="914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5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6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17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18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19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0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1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5"/>
    <w:next w:val="745"/>
    <w:uiPriority w:val="99"/>
    <w:unhideWhenUsed/>
    <w:pPr>
      <w:spacing w:after="0"/>
    </w:pPr>
  </w:style>
  <w:style w:type="paragraph" w:styleId="924">
    <w:name w:val="List Paragraph"/>
    <w:basedOn w:val="745"/>
    <w:uiPriority w:val="34"/>
    <w:qFormat/>
    <w:pPr>
      <w:contextualSpacing/>
      <w:ind w:left="720"/>
    </w:pPr>
  </w:style>
  <w:style w:type="paragraph" w:styleId="925">
    <w:name w:val="Header"/>
    <w:basedOn w:val="745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755"/>
    <w:link w:val="925"/>
    <w:uiPriority w:val="99"/>
  </w:style>
  <w:style w:type="paragraph" w:styleId="927">
    <w:name w:val="Footer"/>
    <w:basedOn w:val="745"/>
    <w:link w:val="9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755"/>
    <w:link w:val="927"/>
    <w:uiPriority w:val="99"/>
  </w:style>
  <w:style w:type="character" w:styleId="929">
    <w:name w:val="FollowedHyperlink"/>
    <w:basedOn w:val="755"/>
    <w:uiPriority w:val="99"/>
    <w:semiHidden/>
    <w:unhideWhenUsed/>
    <w:rPr>
      <w:color w:val="954f72" w:themeColor="followedHyperlink"/>
      <w:u w:val="single"/>
    </w:rPr>
  </w:style>
  <w:style w:type="paragraph" w:styleId="930">
    <w:name w:val="Balloon Text"/>
    <w:basedOn w:val="745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55"/>
    <w:link w:val="9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info@iro22.ru" TargetMode="External"/><Relationship Id="rId16" Type="http://schemas.openxmlformats.org/officeDocument/2006/relationships/hyperlink" Target="mailto:info@iro22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revision>5</cp:revision>
  <dcterms:created xsi:type="dcterms:W3CDTF">2024-03-29T03:33:00Z</dcterms:created>
  <dcterms:modified xsi:type="dcterms:W3CDTF">2024-03-29T11:11:17Z</dcterms:modified>
</cp:coreProperties>
</file>